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107</w:t>
      </w:r>
    </w:p>
    <w:p>
      <w:r>
        <w:t>Bundesgericht (BGE), 1971-05-05, DE</w:t>
      </w:r>
    </w:p>
    <w:p>
      <w:r>
        <w:rPr>
          <w:b/>
        </w:rPr>
        <w:t xml:space="preserve">Quelle: </w:t>
      </w:r>
      <w:r>
        <w:t>https://mcp.opencaselaw.ch/entscheid/bge_97 I 107</w:t>
      </w:r>
    </w:p>
    <w:p>
      <w:r>
        <w:t>FR: ATF 97 I 107</w:t>
      </w:r>
    </w:p>
    <w:p>
      <w:r>
        <w:t>IT: DTF 97 I 107</w:t>
      </w:r>
    </w:p>
    <w:p>
      <w:pPr>
        <w:pStyle w:val="Heading2"/>
      </w:pPr>
      <w:r>
        <w:t>Regeste</w:t>
      </w:r>
    </w:p>
    <w:p>
      <w:r>
        <w:t>Regeste Legitimation zur staatsrechtlichen Beschwerde. Art. 4 BV. Kantonales Strafprozessrecht. Der Privatkläger kann, obwohl in der Sache selbst nicht legitimiert, mit staatsrechtlicher Beschwerde rügen, die Klage sei aus einer Erwägung, die offensichtlich der kantonalen StPO widerspricht, von der Hand gewiesen worden. Es ist nicht willkürlich, die Strafklage von der Hand zu weisen, wenn die geltend gemachte Tat zwar unter Strafe gestellt ist, es aber offensichtlich an einem hinreichenden Verdacht fehlt.</w:t>
      </w:r>
    </w:p>
    <w:p>
      <w:pPr>
        <w:pStyle w:val="Heading2"/>
      </w:pPr>
      <w:r>
        <w:t>Erwägungen</w:t>
      </w:r>
    </w:p>
    <w:p>
      <w:r>
        <w:rPr>
          <w:b/>
        </w:rPr>
        <w:t>E. 3</w:t>
      </w:r>
    </w:p>
    <w:p>
      <w:r>
        <w:t>Der Privatkläger kann gegen den Entscheid beim Staatsanwalt Rekurs einlegen." Es ergibt sich daraus, dass entgegen den Ausführungen des Beschwerdeführers für die Strafanzeige und für die Klage eines Privatklägers im wesentlichen die gleiche Ordnung gilt. Der Strafanzeige wird keine Folge gegeben, die Klage wird von der Hand gewiesen, was beides bedeutet, dass es der Amtsstatthalter ablehnt, ein Strafverfahren zu eröffnen. Es ist klar, dass eine Strafklage von der Hand zu weisen ist, wenn die Tat, so wie sie vom Privatkläger geschildert wird, gar nicht mit Strafe bedroht ist. Fraglich ist dagegen, ob eine Strafklage auch dann von der Hand gewiesen werden darf, wenn die Tat zwar allenfalls unter Strafe gestellt ist, aber sich bei Prüfung der Klage von vorneherein zeigt, dass diese grundlos ist. So kann es beispielsweise offenkundig sein, dass sich ein Vorfall nicht so abgespielt haben kann, wie er in der Klage dargestellt ist, oder es kann sich zeigen, dass der in der Klage ausgesprochene Verdacht einer strafbaren Handlung klarerweise nicht vorhanden ist. Der Beschwerdeführer ist der Meinung, es müsse in solchen Fällen der Klage Folge gegeben werden, doch ist es nicht unhaltbar, wenn das Obergericht den § 59 StPO anders auslegt. Damit jemand gerichtlich verfolgt werden darf, bedarf es nach allgemeiner Lehre eines gewissen Verdachts, dass er eine mit Strafe bedrohte BGE 97 I 107 S. 111 Tat begangen hat ( BGE 96 I 27 ). Es ist unter diesem Gesichtspunkt zulässig, dass der Untersuchungsrichter eine Anzeige oder Klage prüft und die Eröffnung eines Strafverfahrens ablehnt, wenn es offensichtlich an einem hinreichenden Verdacht fehlt. Das liegt im Interesse des Beschuldigten, der nicht grundlos in ein Strafverfahren einbezogen werden soll. Zudem soll sich die Strafverfolgungsbehörde nicht mit Fällen beschäftigen müssen, in denen eine Bestrafung von vorneherein nicht in Frage kommt. Es geht indessen nicht an, dass der Untersuchungsrichter eine Klage von der Hand weist, wenn ein gewisser Verdacht vorliegt, indem er in subtiler Erwägung darüber befindet, ob es voraussichtlich zu einer Verurteilung kommen könnte oder nicht. Er darf, wenn die in der Klage genannte Tat an sich allenfalls mit Strafe bedroht ist und die formellen Prozessvoraussetzungen erfüllt sind, die Klage nur von der Hand weisen, wenn sie offensichtlich grundlos ist, wenn es also klarerweise an einem die Eröffnung des Strafverfahrens rechtfertigenden, sog. hinreichenden Verdacht mangelt. Besteht ein gewisser, wenn auch nicht schwerwiegender Verdacht, so muss die Untersuchung eingeleitet werden (vgl. die erwähnten Urteile i.S. Hommel &amp; Co. und Brun). So wendet das Obergericht den § 59 StPO an, und diese Auslegung ist nach dem Gesagten nicht willkürlich. Sie stützt sich zudem, wie im angefochtenen Entscheid ausgeführt wird, auf eine mehrjährige kantonale Praxis und auf die Entstehungsgeschichte der Norm. Ferner entspricht sie der Regelung anderer Strafprozessordnungen (§ 80 Abs. 1 der solothurnischen StPO vom 7. Juni 1970; vgl. LENZLINGER, Nichtanhandnahme und Einstellung der Untersuchung, in: Kriminalistik, 1965, S. 158). Der Strafkläger ist bei dieser Auslegung des § 59 StPO nicht der Willkür des Amtsstatthalters ausgesetzt, wie der Beschwerdeführer behauptet. Er kann sich mit einem Rekurs an den Staatsanwalt wenden, wenn er glaubt, der Amtsstatthalter habe seine Klage zu Unrecht von der Hand gewiesen. Einen abweisenden Entscheid des Staatsanwalts kann er an das Obergericht weiterziehen.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